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B728" w14:textId="77777777" w:rsidR="007B3974" w:rsidRDefault="007B3974">
      <w:pPr>
        <w:rPr>
          <w:rFonts w:ascii="Times New Roman" w:hAnsi="Times New Roman" w:cs="Times New Roman"/>
          <w:sz w:val="24"/>
          <w:szCs w:val="24"/>
        </w:rPr>
      </w:pPr>
    </w:p>
    <w:p w14:paraId="462323DE" w14:textId="77777777" w:rsidR="007B3974" w:rsidRDefault="00C968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14741467"/>
      <w:r>
        <w:rPr>
          <w:rFonts w:ascii="Times New Roman" w:hAnsi="Times New Roman" w:cs="Times New Roman"/>
          <w:b/>
          <w:sz w:val="24"/>
          <w:szCs w:val="24"/>
        </w:rPr>
        <w:t>КОМПОДЕНТ-С материал композиционный пломбировочный светового отверждения</w:t>
      </w:r>
    </w:p>
    <w:p w14:paraId="4D23C72D" w14:textId="77777777" w:rsidR="007B3974" w:rsidRDefault="00C96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(ФЛОУ жидкотекучий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нанокомпозит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низкой вязкости)</w:t>
      </w:r>
    </w:p>
    <w:p w14:paraId="709CE6C8" w14:textId="77777777" w:rsidR="007B3974" w:rsidRDefault="007B3974">
      <w:pPr>
        <w:rPr>
          <w:rFonts w:ascii="Times New Roman" w:hAnsi="Times New Roman" w:cs="Times New Roman"/>
          <w:b/>
          <w:sz w:val="24"/>
          <w:szCs w:val="24"/>
        </w:rPr>
      </w:pPr>
    </w:p>
    <w:p w14:paraId="4E4E73E7" w14:textId="5EA17C98" w:rsidR="007B3974" w:rsidRDefault="00C968D8" w:rsidP="00013D7E">
      <w:pPr>
        <w:shd w:val="clear" w:color="auto" w:fill="FFFFFF"/>
        <w:spacing w:before="150" w:after="30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 (ФЛОУ)</w:t>
      </w:r>
      <w:r w:rsidR="0001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жидкотекучий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нанонаполненный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композитный материал светового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верждения для реставрации зубов,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 для использования в терапевтической стоматологии.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при пломбировании полостей всех классов. Высокое содержание неорганического наполнителя обеспечивает прочность реставраций. Текучесть позволяет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распределяется по поверхности полости, заполняя мельчайшие трещины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поднутрения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Низкая полимеризационная усадка снижает риски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микроподтеканий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препятствует отрыву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снижает риск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постпломбировочной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чувствительности. </w:t>
      </w:r>
    </w:p>
    <w:p w14:paraId="32C13877" w14:textId="77777777" w:rsidR="007B3974" w:rsidRDefault="00C968D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</w:p>
    <w:p w14:paraId="399FF503" w14:textId="77777777" w:rsidR="007B3974" w:rsidRDefault="00C968D8" w:rsidP="00013D7E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полостей III, IV, V классов. Использование в качестве лайнера/прокладки в полостях I и II классов по Блэку. Герметизации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ямок и небольших полостей. Восстановления небольших дефектов непрямых фарфоровых и композитных облицовок. Устранение дефек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несъемных и съемных композитных и акриловых реставраций. Реставрация пришеечной области. Реставрация минимально инвазивных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отпрепарированных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полостей.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зубов при заболеваниях пародонта.</w:t>
      </w:r>
      <w:bookmarkEnd w:id="0"/>
    </w:p>
    <w:p w14:paraId="48874E61" w14:textId="77777777" w:rsidR="007B3974" w:rsidRDefault="00C968D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 </w:t>
      </w:r>
    </w:p>
    <w:p w14:paraId="09D6B45C" w14:textId="77777777" w:rsidR="007B3974" w:rsidRDefault="00C968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совместим с композитам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производителей.</w:t>
      </w:r>
    </w:p>
    <w:p w14:paraId="0CD1EE17" w14:textId="6416C553" w:rsidR="007B3974" w:rsidRDefault="00C968D8" w:rsidP="00013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полимеризации лампой легко обрабатывается и полируется до зеркального блеска.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высокому содержанию неорганического наполнителя обладает высокой прочностью на сж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атие и низкой полимеризационной усадкой.  Оптимальная текучесть позволяет легко заполнять даже узкие полости и применять материал при туннельном препарировании. </w:t>
      </w:r>
    </w:p>
    <w:p w14:paraId="6CA79276" w14:textId="77777777" w:rsidR="007B3974" w:rsidRDefault="00C968D8" w:rsidP="00013D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способу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Флоу)  аналогичен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Revolution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Formula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KERR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ltimate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Flowable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Ivoclar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AeliteFlo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Bisco</w:t>
      </w:r>
      <w:r>
        <w:rPr>
          <w:rFonts w:ascii="Times New Roman" w:hAnsi="Times New Roman" w:cs="Times New Roman"/>
          <w:sz w:val="24"/>
          <w:szCs w:val="24"/>
        </w:rPr>
        <w:t>, США)  и др.</w:t>
      </w:r>
    </w:p>
    <w:p w14:paraId="73AABC37" w14:textId="77777777" w:rsidR="007B3974" w:rsidRDefault="00C96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применения</w:t>
      </w:r>
    </w:p>
    <w:p w14:paraId="780373DA" w14:textId="77777777" w:rsidR="007B3974" w:rsidRDefault="00C968D8" w:rsidP="0001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подготовки проведите удаление зубного налета любым доступным вам методом.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Подберите необходимый вам оттенок используя стандартную шкалу оттенков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Изолируйте полость используя коффердам или ватные валики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слюнаотсосом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Подготовьте полость</w:t>
      </w:r>
      <w:r>
        <w:rPr>
          <w:rFonts w:ascii="Times New Roman" w:hAnsi="Times New Roman" w:cs="Times New Roman"/>
          <w:sz w:val="24"/>
          <w:szCs w:val="24"/>
        </w:rPr>
        <w:t xml:space="preserve"> по общепринятой методике с максимальным сохранением твердых тканей зуба.</w:t>
      </w:r>
    </w:p>
    <w:p w14:paraId="3780655C" w14:textId="77777777" w:rsidR="007B3974" w:rsidRDefault="00C968D8" w:rsidP="0001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Промойте подготовленную полость струей воды и высушите воздухом, не допуская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пересушивания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дентина. Не допускайте загрязнения подготовленной полости ротовой жидкостью, кровью, слюной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D5B4E" w14:textId="77777777" w:rsidR="007B3974" w:rsidRDefault="00C968D8" w:rsidP="000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обнажении пульпы нанесите прокладку из гидроксида кальция на вскрытый участок, а затем покройте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стеклоиономерным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цементом.</w:t>
      </w:r>
    </w:p>
    <w:p w14:paraId="226493DB" w14:textId="77777777" w:rsidR="007B3974" w:rsidRDefault="007B3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90E35" w14:textId="77777777" w:rsidR="007B3974" w:rsidRDefault="00C968D8" w:rsidP="0001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травление эмали и дентина согласно техники тотального травления. Удалите протравочный гель и промойте водой. Высуши</w:t>
      </w:r>
      <w:r>
        <w:rPr>
          <w:rFonts w:ascii="Times New Roman" w:hAnsi="Times New Roman" w:cs="Times New Roman"/>
          <w:sz w:val="24"/>
          <w:szCs w:val="24"/>
        </w:rPr>
        <w:t>те воздухом на пересушивая дентин.</w:t>
      </w:r>
    </w:p>
    <w:p w14:paraId="2FF2ABF8" w14:textId="77777777" w:rsidR="007B3974" w:rsidRDefault="00C968D8" w:rsidP="0001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надежного соединения материала с тканями зуба можно использовать адгезивные системы для эмали и дентина светового отверждения любого производителя согласно их инструкции по применению. </w:t>
      </w:r>
    </w:p>
    <w:p w14:paraId="0BBC2316" w14:textId="77777777" w:rsidR="007B3974" w:rsidRDefault="00C968D8" w:rsidP="0001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внесением матери</w:t>
      </w:r>
      <w:r>
        <w:rPr>
          <w:rFonts w:ascii="Times New Roman" w:hAnsi="Times New Roman" w:cs="Times New Roman"/>
          <w:sz w:val="24"/>
          <w:szCs w:val="24"/>
        </w:rPr>
        <w:t>ала в полость снимите колпачок и насадите иглу канюлю на дозатор с материалом. Плавно надавите на поршень и выдавите небольшое количество материала убедившись в его проходимости через канюлю.</w:t>
      </w:r>
    </w:p>
    <w:p w14:paraId="4B9ABC3D" w14:textId="77777777" w:rsidR="007B3974" w:rsidRDefault="00C968D8" w:rsidP="000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Послойно внесите реставрационный материал в подготовленную полос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слоем 2мм и распределите по поверхности. Потяните поршень шприца назад, чтобы избежать дальнейшего после внесения выделения материала.</w:t>
      </w:r>
    </w:p>
    <w:p w14:paraId="0A344150" w14:textId="77777777" w:rsidR="007B3974" w:rsidRDefault="00C968D8" w:rsidP="000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Полимеризацию материала проведите галогеновой или светодиодной лампой в диапазоне 400–500 нм. не менее 20 сек.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Полимеризуйте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 слой материала, засвечивая всю его поверхность.  Во время полимеризации держите световод как можно ближе к нанесенному матер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иалу.</w:t>
      </w:r>
    </w:p>
    <w:p w14:paraId="11BA42AD" w14:textId="77777777" w:rsidR="007B3974" w:rsidRDefault="00C968D8" w:rsidP="0001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Если материал использовался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подкладки, то по верх него нанесите композитный реставрационный материал, любого производителя.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Окончательная обработка поверхности и придания формы осуществляется соответствующим алмазными или твердосплавными борами с водяным охлаждением. Полировку поверхности пломбы можно провести любыми доступными вам абразивными средствами.</w:t>
      </w:r>
    </w:p>
    <w:p w14:paraId="319CAB8F" w14:textId="77777777" w:rsidR="007B3974" w:rsidRDefault="007B397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14:paraId="626E5614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E921E5" w14:textId="77777777" w:rsidR="007B3974" w:rsidRDefault="00C968D8" w:rsidP="00C9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держит акриловые мономеры. С осторожностью применять у пациентов, имеющих повышенную чувствительность к акриловыми мономерам. Не использовать в целях, не предусмотренных данной инструкцией. </w:t>
      </w:r>
    </w:p>
    <w:p w14:paraId="33C625DC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3054" w14:textId="77777777" w:rsidR="007B3974" w:rsidRDefault="00C968D8" w:rsidP="00C9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Только для профессионального использования в лечебно-профилактич</w:t>
      </w:r>
      <w:r>
        <w:rPr>
          <w:rFonts w:ascii="Times New Roman" w:hAnsi="Times New Roman" w:cs="Times New Roman"/>
          <w:b/>
          <w:sz w:val="24"/>
          <w:szCs w:val="24"/>
        </w:rPr>
        <w:t>еских учреждениях.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5E453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использовать в домашних условиях.</w:t>
      </w:r>
    </w:p>
    <w:p w14:paraId="27452DE1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DCF88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Побочные воздействия</w:t>
      </w:r>
    </w:p>
    <w:p w14:paraId="5B0F501F" w14:textId="77777777" w:rsidR="007B3974" w:rsidRDefault="00C968D8" w:rsidP="00C9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хранении, транспортировании и соблюдении инструкции по применению побочные воздействия отсутствуют.</w:t>
      </w:r>
    </w:p>
    <w:p w14:paraId="7581AC8B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5574C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2A965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956AB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EA2D5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98E82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выпуска и комплектация</w:t>
      </w:r>
    </w:p>
    <w:p w14:paraId="73BCF5DA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шприц с пастой 2 г – 1 шт.; </w:t>
      </w:r>
      <w:r>
        <w:rPr>
          <w:rFonts w:ascii="Times New Roman" w:hAnsi="Times New Roman" w:cs="Times New Roman"/>
          <w:sz w:val="24"/>
          <w:szCs w:val="24"/>
        </w:rPr>
        <w:t>канюля аппликационная – 10 шт.</w:t>
      </w:r>
    </w:p>
    <w:p w14:paraId="3330AA3A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применению – 1 шт.</w:t>
      </w:r>
    </w:p>
    <w:p w14:paraId="6CFF3AA0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860CB" w14:textId="77777777" w:rsidR="00C968D8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E028A" w14:textId="77777777" w:rsidR="00C968D8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949CEE" w14:textId="77777777" w:rsidR="00C968D8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8F7E0" w14:textId="7504433E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хранения</w:t>
      </w:r>
    </w:p>
    <w:p w14:paraId="39CA07A5" w14:textId="77777777" w:rsidR="007B3974" w:rsidRDefault="00C968D8" w:rsidP="00C9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в сухом защищенном от прямого попадания солнечных лучей месте в закрытых помещениях на расстоянии не менее 1 м от отопительных приборов при температуре от +4°С до +25</w:t>
      </w:r>
      <w:r>
        <w:rPr>
          <w:rFonts w:ascii="Times New Roman" w:hAnsi="Times New Roman" w:cs="Times New Roman"/>
          <w:sz w:val="24"/>
          <w:szCs w:val="24"/>
        </w:rPr>
        <w:t>°С. Срок годности – 3 года. Дата окончания срока годности указана на упаковке.</w:t>
      </w:r>
    </w:p>
    <w:p w14:paraId="1694126C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365AB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транспортировки</w:t>
      </w:r>
    </w:p>
    <w:p w14:paraId="36B01FF2" w14:textId="77777777" w:rsidR="007B3974" w:rsidRDefault="00C968D8" w:rsidP="00C9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 видами крытых, сухих, чистых и без посторонних запахов транспортных средств в соответствии с требованиями ГОСТ </w:t>
      </w:r>
    </w:p>
    <w:p w14:paraId="1DC6640D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17768 и правилами перевозки грузов</w:t>
      </w:r>
      <w:r>
        <w:rPr>
          <w:rFonts w:ascii="Times New Roman" w:hAnsi="Times New Roman" w:cs="Times New Roman"/>
          <w:sz w:val="24"/>
          <w:szCs w:val="24"/>
        </w:rPr>
        <w:t>, действующих на данном виде транспорта.</w:t>
      </w:r>
    </w:p>
    <w:p w14:paraId="5EF91818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E349A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14:paraId="42D4B04B" w14:textId="77777777" w:rsidR="007B3974" w:rsidRDefault="00C968D8" w:rsidP="00C9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гарантирует качество медицинского изделия до истечения его срока годности при соблюдении условий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эксплуатации, транспортировании и хранения. </w:t>
      </w:r>
    </w:p>
    <w:p w14:paraId="747BF77F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2C390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14:paraId="7AA55209" w14:textId="77777777" w:rsidR="007B3974" w:rsidRDefault="00C968D8" w:rsidP="00C968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Утилизация материала должна проводиться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общих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системы сбора, временного хранения и транспортирования отходов в ЛПУ для отходов класса А (неопасные) по СанПиН 2.1.7.2790.</w:t>
      </w:r>
    </w:p>
    <w:p w14:paraId="33492499" w14:textId="77777777" w:rsidR="007B3974" w:rsidRDefault="007B39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DC8D7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производителе медицинского изделия</w:t>
      </w:r>
    </w:p>
    <w:p w14:paraId="63DEAFFA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«НКФ Омега-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111FBC9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Россия, 115088, г. Москва,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Угрешская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д.31, корп.3, оф.211-212</w:t>
      </w:r>
    </w:p>
    <w:p w14:paraId="59F5326C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 (800) 500-51-92</w:t>
      </w:r>
    </w:p>
    <w:p w14:paraId="2E9C425C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 +7 (495) 679-80-53</w:t>
      </w:r>
    </w:p>
    <w:p w14:paraId="3BAA9731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info@omegadent.ru</w:t>
      </w:r>
    </w:p>
    <w:p w14:paraId="1A770F7D" w14:textId="77777777" w:rsidR="007B3974" w:rsidRDefault="00C96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www.omegadent.r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</w:p>
    <w:sectPr w:rsidR="007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1E48" w14:textId="77777777" w:rsidR="007B3974" w:rsidRDefault="00C968D8">
      <w:pPr>
        <w:spacing w:after="0" w:line="240" w:lineRule="auto"/>
      </w:pPr>
      <w:r>
        <w:separator/>
      </w:r>
    </w:p>
  </w:endnote>
  <w:endnote w:type="continuationSeparator" w:id="0">
    <w:p w14:paraId="3B5F7A5F" w14:textId="77777777" w:rsidR="007B3974" w:rsidRDefault="00C9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FC55" w14:textId="77777777" w:rsidR="007B3974" w:rsidRDefault="00C968D8">
      <w:pPr>
        <w:spacing w:after="0" w:line="240" w:lineRule="auto"/>
      </w:pPr>
      <w:r>
        <w:separator/>
      </w:r>
    </w:p>
  </w:footnote>
  <w:footnote w:type="continuationSeparator" w:id="0">
    <w:p w14:paraId="74E08281" w14:textId="77777777" w:rsidR="007B3974" w:rsidRDefault="00C9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417"/>
    <w:multiLevelType w:val="hybridMultilevel"/>
    <w:tmpl w:val="4EBCD012"/>
    <w:lvl w:ilvl="0" w:tplc="C9A66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CA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CC5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AB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00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A93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48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0A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E7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823E3"/>
    <w:multiLevelType w:val="hybridMultilevel"/>
    <w:tmpl w:val="D458B606"/>
    <w:lvl w:ilvl="0" w:tplc="B2C81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CE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205B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BAB0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AA0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E0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D2B6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FAF4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14DD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B7171"/>
    <w:multiLevelType w:val="hybridMultilevel"/>
    <w:tmpl w:val="AD52BCAA"/>
    <w:lvl w:ilvl="0" w:tplc="74929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88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0A48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10CB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A803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A664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0840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FE0E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62C1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A627D"/>
    <w:multiLevelType w:val="hybridMultilevel"/>
    <w:tmpl w:val="5D7CF0BE"/>
    <w:lvl w:ilvl="0" w:tplc="5C98A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3C7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EC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887F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D8F2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BEA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1006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0CC6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280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F093F"/>
    <w:multiLevelType w:val="hybridMultilevel"/>
    <w:tmpl w:val="DA349DCA"/>
    <w:lvl w:ilvl="0" w:tplc="FA2CE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564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9278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92F7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1C92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4F2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92E3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D2BE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1E5D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66589"/>
    <w:multiLevelType w:val="hybridMultilevel"/>
    <w:tmpl w:val="EA765122"/>
    <w:lvl w:ilvl="0" w:tplc="1E286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D64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16F6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AA72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F444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F24D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E06F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EA9E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C24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F17A9"/>
    <w:multiLevelType w:val="hybridMultilevel"/>
    <w:tmpl w:val="D46CEA0C"/>
    <w:lvl w:ilvl="0" w:tplc="7336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E2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E3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0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61B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86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EB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EF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6B5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01A64"/>
    <w:multiLevelType w:val="hybridMultilevel"/>
    <w:tmpl w:val="6EB6A1BE"/>
    <w:lvl w:ilvl="0" w:tplc="7EE45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046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4B2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687B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B0CA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AADA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864A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A02D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2035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F1504"/>
    <w:multiLevelType w:val="hybridMultilevel"/>
    <w:tmpl w:val="B87C21FC"/>
    <w:lvl w:ilvl="0" w:tplc="0D1A0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F60D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C245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AC9F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5E1A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88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4AC9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D0A1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DEF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37949"/>
    <w:multiLevelType w:val="hybridMultilevel"/>
    <w:tmpl w:val="7D5EF3D0"/>
    <w:lvl w:ilvl="0" w:tplc="3ABEF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60E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78B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70C3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96A7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F8A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260E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C690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BE66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084023">
    <w:abstractNumId w:val="9"/>
  </w:num>
  <w:num w:numId="2" w16cid:durableId="709111605">
    <w:abstractNumId w:val="6"/>
  </w:num>
  <w:num w:numId="3" w16cid:durableId="1785266404">
    <w:abstractNumId w:val="0"/>
  </w:num>
  <w:num w:numId="4" w16cid:durableId="1979915021">
    <w:abstractNumId w:val="2"/>
  </w:num>
  <w:num w:numId="5" w16cid:durableId="154418973">
    <w:abstractNumId w:val="4"/>
  </w:num>
  <w:num w:numId="6" w16cid:durableId="1049184692">
    <w:abstractNumId w:val="7"/>
  </w:num>
  <w:num w:numId="7" w16cid:durableId="1004287872">
    <w:abstractNumId w:val="8"/>
  </w:num>
  <w:num w:numId="8" w16cid:durableId="393890858">
    <w:abstractNumId w:val="1"/>
  </w:num>
  <w:num w:numId="9" w16cid:durableId="1386299168">
    <w:abstractNumId w:val="5"/>
  </w:num>
  <w:num w:numId="10" w16cid:durableId="111247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74"/>
    <w:rsid w:val="00013D7E"/>
    <w:rsid w:val="007B3974"/>
    <w:rsid w:val="00C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9487"/>
  <w15:docId w15:val="{E6C79BD8-8C02-423C-9DC3-2DB87BD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83CC1EC-9665-413E-961D-C420167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2</cp:revision>
  <dcterms:created xsi:type="dcterms:W3CDTF">2022-10-25T12:24:00Z</dcterms:created>
  <dcterms:modified xsi:type="dcterms:W3CDTF">2022-10-25T12:24:00Z</dcterms:modified>
</cp:coreProperties>
</file>